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02B273A8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</w:t>
      </w:r>
      <w:r w:rsidRPr="00E32307">
        <w:rPr>
          <w:rFonts w:ascii="Trebuchet MS" w:hAnsi="Trebuchet MS" w:cs="Arial"/>
          <w:b/>
          <w:sz w:val="20"/>
          <w:szCs w:val="20"/>
          <w:lang w:val="ro-RO"/>
        </w:rPr>
        <w:t>S</w:t>
      </w:r>
      <w:r w:rsidR="00927776" w:rsidRPr="00E32307">
        <w:rPr>
          <w:rFonts w:ascii="Trebuchet MS" w:hAnsi="Trebuchet MS" w:cs="Arial"/>
          <w:b/>
          <w:sz w:val="20"/>
          <w:szCs w:val="20"/>
          <w:lang w:val="ro-RO"/>
        </w:rPr>
        <w:t xml:space="preserve">F 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obiectiv mixt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5F7EBC" w:rsidRPr="00305DAC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589FB946" w:rsidR="00E177EC" w:rsidRPr="00305DAC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5147BD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3E35EACC" w:rsidR="002676D8" w:rsidRPr="00305DAC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E7676E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La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acestea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sunt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adaugate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continutul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cadru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DALI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prevazut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anexa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5. </w:t>
            </w:r>
            <w:r w:rsidR="0048307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*1)</w:t>
            </w:r>
            <w:r w:rsidR="00AF72FC" w:rsidRPr="00305DAC">
              <w:rPr>
                <w:rFonts w:ascii="Trebuchet MS" w:hAnsi="Trebuchet MS"/>
                <w:color w:val="008000"/>
                <w:sz w:val="20"/>
                <w:szCs w:val="20"/>
              </w:rPr>
              <w:t>)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05DAC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*1) </w:t>
            </w:r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ontinutul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cadru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al SF</w:t>
            </w:r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si</w:t>
            </w:r>
            <w:proofErr w:type="spellEnd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DALI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poate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fi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adaptat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functie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specificul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și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complexitatea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obiectivului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investitii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propus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0FF83F3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D62B23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E7676E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7676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informatii</w:t>
            </w:r>
            <w:r w:rsidR="00C37F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C37F48" w:rsidRPr="002B6C43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lastRenderedPageBreak/>
              <w:t>relevante</w:t>
            </w:r>
            <w:r w:rsidR="00276D6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</w:t>
            </w:r>
            <w:r w:rsidR="006F7C7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oa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 la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constructia existenta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precizarilor din capitolul 2, sectiunea A 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180F7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D62B2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49658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completate cu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precizarilor 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BC0885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1ADE6C77" w14:textId="4E393149" w:rsidR="00036E95" w:rsidRPr="00305DAC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S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unt prezentate inclusiv informatii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F05549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referitoare la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D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escrierea constructiei existente,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907/2016,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Informatii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referitoare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geotehnic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infrastructurii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conform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reglementărilor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vigoare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E4FAB2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Destinaţia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4C7266E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Precizarea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daca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este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arheologice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acestora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BE205B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Caracteristicile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clasa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importanţă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cod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, an/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perioade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fiecare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corp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;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desfăşurată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valoarea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inventar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*3)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alţi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)?</w:t>
            </w:r>
          </w:p>
          <w:p w14:paraId="0901B22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baza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concluziilor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expertizei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auditului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energetic,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arhitecturalo-istoric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beneficiază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regimul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monument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aflate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zone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11CE50E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sistemul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diagnostic, din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punctul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vedere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cerinţelor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fundamentale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aplicabile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potrivit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legii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6C8BFDD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doveditor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forţei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majore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7C6E7F6" w14:textId="708F87E5" w:rsidR="003C0DFE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C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si dupa ca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z,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*4)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cadrul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capitolul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ui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51A6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4</w:t>
            </w:r>
            <w:r w:rsidR="00E709B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A </w:t>
            </w:r>
            <w:r w:rsidR="003C0DFE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lastRenderedPageBreak/>
              <w:t xml:space="preserve">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BF42D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I</w:t>
            </w:r>
            <w:r w:rsidR="00AC38AB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.1, 5.2, 5.3, </w:t>
            </w:r>
            <w:r w:rsidR="00074A18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si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5.4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sectiunea A </w:t>
            </w:r>
            <w:r w:rsidR="0096714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05DAC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principalelor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: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subansamblurilor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ansamblului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restaurarea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componentelor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artistice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conservare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antropice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valoroase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demolarea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parţială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, cu/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fără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modificarea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configuraţiei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ţiunii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suplimentare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dispozitive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antiseismice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răspunsului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seismic al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F3D4250" w14:textId="79CE0B74" w:rsidR="00E709B6" w:rsidRPr="00305DAC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cluse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propusă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respectiv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hidroizolaţii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termoizolaţii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înlocuirea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echipamentelor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finisaje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interior/exterior,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îmbunătăţirea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terenului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strict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necesare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funcţionalităţii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reabilitate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6D13CA0" w14:textId="77777777" w:rsidR="00B073B4" w:rsidRPr="00BC0885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5C0FE5">
              <w:rPr>
                <w:rFonts w:ascii="Trebuchet MS" w:hAnsi="Trebuchet MS"/>
                <w:i/>
                <w:sz w:val="16"/>
                <w:szCs w:val="20"/>
              </w:rPr>
              <w:t>*3) -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nu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se 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la POR 2014-2020</w:t>
            </w:r>
          </w:p>
          <w:p w14:paraId="12A7896A" w14:textId="15A37FAD" w:rsidR="004B2E1F" w:rsidRPr="00305DAC" w:rsidRDefault="004B2E1F" w:rsidP="004B2E1F">
            <w:pPr>
              <w:spacing w:after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*4)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8F367F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? </w:t>
            </w:r>
            <w:r w:rsidR="005C0FE5" w:rsidRP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informatiile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AD7B81" w:rsidRDefault="00AD7B81" w:rsidP="00AD7B81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B719DB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956BE1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</w:t>
            </w:r>
            <w:r w:rsidR="00B719DB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7E5ECE" w:rsidRPr="00305DAC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6519B8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05DAC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 cu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7, sectiunea A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907/2016),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Certificatul de urbanism emis în vederea obţinerii autorizaţiei de construire?</w:t>
            </w:r>
          </w:p>
          <w:p w14:paraId="625B66BB" w14:textId="4E676FB2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977949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7342FE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6519B8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05DAC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693C13" w:rsidRPr="00305DAC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6519B8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05DAC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hAnsi="Trebuchet MS" w:cs="Arial"/>
                <w:color w:val="008000"/>
                <w:sz w:val="20"/>
                <w:szCs w:val="20"/>
              </w:rPr>
              <w:t>E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xistă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planşele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relevante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referitoare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constructia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existentă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mentionate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B </w:t>
            </w:r>
            <w:r w:rsidR="00693C13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desenate,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amplasare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1D6BCDE5" w14:textId="1CF5F0B2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situaţie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0E89A993" w14:textId="333F4057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releveu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-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planuri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secţiuni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faţade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CD6999" w14:textId="3D8A758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planşe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sinteză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458F8C9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6519B8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D034BF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6519B8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F762BC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F762BC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lastRenderedPageBreak/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0606E2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Documentele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anexate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la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cererea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finantare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care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demonstraza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dreptul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solicitantului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/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partenerilor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gram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</w:t>
            </w:r>
            <w:proofErr w:type="gram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executa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lucrarile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sunt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cuprinzatoare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fata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interventiile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a fi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realizate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prin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proiect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05DAC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05DAC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3242925" w:rsidR="00DD354C" w:rsidRPr="00305DAC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6CBF0E5" w14:textId="3773BF5A" w:rsidR="005147BD" w:rsidRPr="00AE4F14" w:rsidRDefault="005147BD" w:rsidP="005147B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</w:t>
      </w:r>
      <w:r w:rsidR="007D3001">
        <w:rPr>
          <w:rFonts w:ascii="Trebuchet MS" w:hAnsi="Trebuchet MS" w:cs="Arial"/>
          <w:sz w:val="20"/>
          <w:szCs w:val="20"/>
          <w:lang w:val="ro-RO"/>
        </w:rPr>
        <w:t>.</w:t>
      </w:r>
    </w:p>
    <w:p w14:paraId="1D41E2E1" w14:textId="58A8AD7A" w:rsidR="008962DA" w:rsidRPr="008962DA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8962DA">
        <w:rPr>
          <w:rFonts w:ascii="Trebuchet MS" w:hAnsi="Trebuchet MS" w:cs="Arial"/>
          <w:sz w:val="20"/>
          <w:szCs w:val="20"/>
          <w:lang w:val="ro-RO"/>
        </w:rPr>
        <w:t>În cazul bifării c</w:t>
      </w:r>
      <w:r w:rsidR="007D3001">
        <w:rPr>
          <w:rFonts w:ascii="Trebuchet MS" w:hAnsi="Trebuchet MS" w:cs="Arial"/>
          <w:sz w:val="20"/>
          <w:szCs w:val="20"/>
          <w:lang w:val="ro-RO"/>
        </w:rPr>
        <w:t>u NU la oricare dintre</w:t>
      </w:r>
      <w:bookmarkStart w:id="1" w:name="_GoBack"/>
      <w:bookmarkEnd w:id="1"/>
      <w:r w:rsidRPr="008962DA">
        <w:rPr>
          <w:rFonts w:ascii="Trebuchet MS" w:hAnsi="Trebuchet MS" w:cs="Arial"/>
          <w:sz w:val="20"/>
          <w:szCs w:val="20"/>
          <w:lang w:val="ro-RO"/>
        </w:rPr>
        <w:t xml:space="preserve"> criterii, proiectul nu se va respinge, se vor cere clarificări, în funcție de prevederile ghidului specific și –dupa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1A3D1716" w14:textId="77777777" w:rsidR="008962DA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8962DA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42D6C97" w14:textId="34AB5BF8" w:rsidR="009477E7" w:rsidRPr="00305DAC" w:rsidRDefault="009477E7" w:rsidP="008962DA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3DABC921" w14:textId="77777777" w:rsidR="009477E7" w:rsidRPr="00305DAC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05DAC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lastRenderedPageBreak/>
        <w:t xml:space="preserve">Întocmit:                                                                     </w:t>
      </w:r>
    </w:p>
    <w:p w14:paraId="04319314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</w:rPr>
      </w:pPr>
    </w:p>
    <w:p w14:paraId="14126961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161586D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E8A0B31" w14:textId="77777777" w:rsidR="00203482" w:rsidRPr="00305DAC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  <w:r w:rsidRPr="00305DAC">
        <w:rPr>
          <w:rFonts w:ascii="Trebuchet MS" w:eastAsia="Times New Roman" w:hAnsi="Trebuchet MS" w:cs="Times New Roman"/>
          <w:color w:val="000000"/>
          <w:sz w:val="20"/>
          <w:szCs w:val="20"/>
          <w:lang w:eastAsia="ro-RO"/>
        </w:rPr>
        <w:br/>
      </w:r>
    </w:p>
    <w:sectPr w:rsidR="00203482" w:rsidRPr="00305DAC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24570" w14:textId="77777777" w:rsidR="003D29D4" w:rsidRDefault="003D29D4" w:rsidP="00203482">
      <w:pPr>
        <w:spacing w:after="0" w:line="240" w:lineRule="auto"/>
      </w:pPr>
      <w:r>
        <w:separator/>
      </w:r>
    </w:p>
  </w:endnote>
  <w:endnote w:type="continuationSeparator" w:id="0">
    <w:p w14:paraId="73D980C7" w14:textId="77777777" w:rsidR="003D29D4" w:rsidRDefault="003D29D4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3001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AC926" w14:textId="77777777" w:rsidR="003D29D4" w:rsidRDefault="003D29D4" w:rsidP="00203482">
      <w:pPr>
        <w:spacing w:after="0" w:line="240" w:lineRule="auto"/>
      </w:pPr>
      <w:r>
        <w:separator/>
      </w:r>
    </w:p>
  </w:footnote>
  <w:footnote w:type="continuationSeparator" w:id="0">
    <w:p w14:paraId="5902E815" w14:textId="77777777" w:rsidR="003D29D4" w:rsidRDefault="003D29D4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D29D4"/>
    <w:rsid w:val="003E77F5"/>
    <w:rsid w:val="00400A76"/>
    <w:rsid w:val="00400E56"/>
    <w:rsid w:val="00400EA1"/>
    <w:rsid w:val="00404944"/>
    <w:rsid w:val="00410998"/>
    <w:rsid w:val="00426DC3"/>
    <w:rsid w:val="00457F7E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05A0"/>
    <w:rsid w:val="006519B8"/>
    <w:rsid w:val="006648D7"/>
    <w:rsid w:val="00666348"/>
    <w:rsid w:val="00676CBB"/>
    <w:rsid w:val="00693C13"/>
    <w:rsid w:val="006A1FB4"/>
    <w:rsid w:val="006C7788"/>
    <w:rsid w:val="006D243A"/>
    <w:rsid w:val="006D6025"/>
    <w:rsid w:val="006E4ECD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3001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962DA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E2D74"/>
    <w:rsid w:val="00BE6326"/>
    <w:rsid w:val="00BF42D3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57A30"/>
    <w:rsid w:val="00F704DF"/>
    <w:rsid w:val="00F73E02"/>
    <w:rsid w:val="00F742ED"/>
    <w:rsid w:val="00F762BC"/>
    <w:rsid w:val="00F93CE4"/>
    <w:rsid w:val="00FA38E2"/>
    <w:rsid w:val="00FB4806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282C53-CF4C-4592-A359-319A9A8A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6</cp:revision>
  <cp:lastPrinted>2017-11-17T10:09:00Z</cp:lastPrinted>
  <dcterms:created xsi:type="dcterms:W3CDTF">2017-03-09T10:49:00Z</dcterms:created>
  <dcterms:modified xsi:type="dcterms:W3CDTF">2017-11-17T10:12:00Z</dcterms:modified>
</cp:coreProperties>
</file>